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58A" w:rsidRPr="001F130E" w:rsidRDefault="00BA658A" w:rsidP="00BA658A">
      <w:pPr>
        <w:tabs>
          <w:tab w:val="left" w:pos="2160"/>
        </w:tabs>
        <w:rPr>
          <w:rFonts w:ascii="Arial" w:eastAsia="宋体" w:hAnsi="Arial" w:cs="Arial"/>
          <w:b/>
          <w:sz w:val="24"/>
          <w:szCs w:val="24"/>
          <w:lang w:eastAsia="zh-CN"/>
        </w:rPr>
      </w:pPr>
      <w:bookmarkStart w:id="0" w:name="_Hlk3548187"/>
      <w:r w:rsidRPr="001F130E">
        <w:rPr>
          <w:rFonts w:ascii="Arial" w:eastAsia="宋体" w:hAnsi="Arial" w:cs="Arial"/>
          <w:b/>
          <w:sz w:val="24"/>
          <w:szCs w:val="24"/>
          <w:lang w:eastAsia="zh-CN"/>
        </w:rPr>
        <w:t>3GPP TSG-RAN WG4 Meeting #111</w:t>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Pr>
          <w:rFonts w:ascii="Arial" w:eastAsia="宋体" w:hAnsi="Arial" w:cs="Arial"/>
          <w:b/>
          <w:sz w:val="24"/>
          <w:szCs w:val="24"/>
          <w:lang w:eastAsia="zh-CN"/>
        </w:rPr>
        <w:t xml:space="preserve">                              </w:t>
      </w:r>
      <w:r w:rsidR="00025E1A" w:rsidRPr="00F13C5A">
        <w:rPr>
          <w:rFonts w:ascii="Arial" w:eastAsia="宋体" w:hAnsi="Arial" w:cs="Arial"/>
          <w:b/>
          <w:sz w:val="24"/>
          <w:szCs w:val="24"/>
          <w:lang w:eastAsia="zh-CN"/>
        </w:rPr>
        <w:t>R4-24088</w:t>
      </w:r>
      <w:r w:rsidR="00025E1A">
        <w:rPr>
          <w:rFonts w:ascii="Arial" w:eastAsia="宋体" w:hAnsi="Arial" w:cs="Arial"/>
          <w:b/>
          <w:sz w:val="24"/>
          <w:szCs w:val="24"/>
          <w:lang w:eastAsia="zh-CN"/>
        </w:rPr>
        <w:t>3</w:t>
      </w:r>
      <w:r w:rsidR="00025E1A">
        <w:rPr>
          <w:rFonts w:ascii="Arial" w:eastAsia="宋体" w:hAnsi="Arial" w:cs="Arial"/>
          <w:b/>
          <w:sz w:val="24"/>
          <w:szCs w:val="24"/>
          <w:lang w:eastAsia="zh-CN"/>
        </w:rPr>
        <w:t>4</w:t>
      </w:r>
      <w:bookmarkStart w:id="1" w:name="_GoBack"/>
      <w:bookmarkEnd w:id="1"/>
    </w:p>
    <w:p w:rsidR="003A046D" w:rsidRDefault="00BA658A" w:rsidP="00BA658A">
      <w:pPr>
        <w:tabs>
          <w:tab w:val="left" w:pos="2160"/>
        </w:tabs>
        <w:rPr>
          <w:rFonts w:ascii="Arial" w:hAnsi="Arial" w:cs="Arial"/>
          <w:b/>
          <w:bCs/>
          <w:sz w:val="24"/>
          <w:szCs w:val="24"/>
          <w:lang w:val="en-US"/>
        </w:rPr>
      </w:pPr>
      <w:r w:rsidRPr="001F130E">
        <w:rPr>
          <w:rFonts w:ascii="Arial" w:eastAsia="宋体" w:hAnsi="Arial" w:cs="Arial"/>
          <w:b/>
          <w:sz w:val="24"/>
          <w:szCs w:val="24"/>
          <w:lang w:eastAsia="zh-CN"/>
        </w:rPr>
        <w:t>Fukuoka City, Fukuoka, Japan, 20</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 24</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May,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A6C28">
        <w:rPr>
          <w:rFonts w:ascii="Arial" w:hAnsi="Arial" w:cs="Arial"/>
          <w:b/>
          <w:bCs/>
          <w:sz w:val="24"/>
          <w:szCs w:val="24"/>
          <w:lang w:val="en-US"/>
        </w:rPr>
        <w:t>10.</w:t>
      </w:r>
      <w:r w:rsidR="00366C2A">
        <w:rPr>
          <w:rFonts w:ascii="Arial" w:hAnsi="Arial" w:cs="Arial"/>
          <w:b/>
          <w:bCs/>
          <w:sz w:val="24"/>
          <w:szCs w:val="24"/>
          <w:lang w:val="en-US"/>
        </w:rPr>
        <w:t>9.2.1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2A6C28">
        <w:rPr>
          <w:rFonts w:ascii="Arial" w:hAnsi="Arial" w:cs="Arial"/>
          <w:b/>
          <w:bCs/>
          <w:sz w:val="24"/>
          <w:szCs w:val="24"/>
          <w:lang w:val="en-US"/>
        </w:rPr>
        <w:t xml:space="preserve">on </w:t>
      </w:r>
      <w:r w:rsidR="001244F8">
        <w:rPr>
          <w:rFonts w:ascii="Arial" w:hAnsi="Arial" w:cs="Arial"/>
          <w:b/>
          <w:bCs/>
          <w:sz w:val="24"/>
          <w:szCs w:val="24"/>
          <w:lang w:val="en-US"/>
        </w:rPr>
        <w:t>system parameter</w:t>
      </w:r>
      <w:r w:rsidR="005201CA">
        <w:rPr>
          <w:rFonts w:ascii="Arial" w:hAnsi="Arial" w:cs="Arial"/>
          <w:b/>
          <w:bCs/>
          <w:sz w:val="24"/>
          <w:szCs w:val="24"/>
          <w:lang w:val="en-US"/>
        </w:rPr>
        <w:t xml:space="preserve"> for intra-band non-contiguous and contiguous CA</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10</w:t>
      </w:r>
      <w:r>
        <w:t xml:space="preserve">bis meeting, the </w:t>
      </w:r>
      <w:r w:rsidR="00DE0A83">
        <w:t xml:space="preserve">intra-band </w:t>
      </w:r>
      <w:r w:rsidR="00C32E80">
        <w:t>non-</w:t>
      </w:r>
      <w:r w:rsidR="00DE0A83">
        <w:t xml:space="preserve">contiguous CA has been discussed. </w:t>
      </w:r>
      <w:r w:rsidR="004E57ED">
        <w:t xml:space="preserve">In this paper, the </w:t>
      </w:r>
      <w:r w:rsidR="009F78DB">
        <w:t>system parameter</w:t>
      </w:r>
      <w:r w:rsidR="004E57ED">
        <w:t xml:space="preserve"> has been discussed.</w:t>
      </w:r>
    </w:p>
    <w:p w:rsidR="003A046D" w:rsidRDefault="00986414">
      <w:pPr>
        <w:pStyle w:val="1"/>
        <w:numPr>
          <w:ilvl w:val="0"/>
          <w:numId w:val="2"/>
        </w:numPr>
      </w:pPr>
      <w:r>
        <w:t>Discussion</w:t>
      </w:r>
    </w:p>
    <w:p w:rsidR="00CC243E" w:rsidRDefault="00613655" w:rsidP="00945B21">
      <w:pPr>
        <w:rPr>
          <w:rFonts w:eastAsiaTheme="minorEastAsia"/>
          <w:lang w:eastAsia="zh-CN"/>
        </w:rPr>
      </w:pPr>
      <w:r>
        <w:rPr>
          <w:rFonts w:eastAsiaTheme="minorEastAsia"/>
          <w:lang w:eastAsia="zh-CN"/>
        </w:rPr>
        <w:t>For the operating bands, the intra-band non-contiguous CA band table is in the same sub-clause of intra-band contiguous CA for NR. Similar approach can be reused for intra-band non-contiguous SL CA.</w:t>
      </w:r>
    </w:p>
    <w:p w:rsidR="00613655" w:rsidRPr="00613655" w:rsidRDefault="00613655" w:rsidP="00945B21">
      <w:pPr>
        <w:rPr>
          <w:rFonts w:eastAsiaTheme="minorEastAsia"/>
          <w:b/>
          <w:lang w:eastAsia="zh-CN"/>
        </w:rPr>
      </w:pPr>
      <w:r w:rsidRPr="00613655">
        <w:rPr>
          <w:rFonts w:eastAsiaTheme="minorEastAsia" w:hint="eastAsia"/>
          <w:b/>
          <w:lang w:eastAsia="zh-CN"/>
        </w:rPr>
        <w:t>P</w:t>
      </w:r>
      <w:r w:rsidRPr="00613655">
        <w:rPr>
          <w:rFonts w:eastAsiaTheme="minorEastAsia"/>
          <w:b/>
          <w:lang w:eastAsia="zh-CN"/>
        </w:rPr>
        <w:t xml:space="preserve">roposal 1: To capture the intra-band contiguous and non-contiguous SL CA </w:t>
      </w:r>
      <w:r w:rsidRPr="00613655">
        <w:rPr>
          <w:rFonts w:eastAsiaTheme="minorEastAsia" w:hint="eastAsia"/>
          <w:b/>
          <w:lang w:eastAsia="zh-CN"/>
        </w:rPr>
        <w:t>bands</w:t>
      </w:r>
      <w:r w:rsidRPr="00613655">
        <w:rPr>
          <w:rFonts w:eastAsiaTheme="minorEastAsia"/>
          <w:b/>
          <w:lang w:eastAsia="zh-CN"/>
        </w:rPr>
        <w:t xml:space="preserve"> under the same sub-clause.</w:t>
      </w:r>
    </w:p>
    <w:p w:rsidR="009F78DB" w:rsidRDefault="000F5EAD" w:rsidP="00945B21">
      <w:pPr>
        <w:rPr>
          <w:rFonts w:eastAsiaTheme="minorEastAsia"/>
          <w:lang w:eastAsia="zh-CN"/>
        </w:rPr>
      </w:pPr>
      <w:r>
        <w:rPr>
          <w:rFonts w:eastAsiaTheme="minorEastAsia" w:hint="eastAsia"/>
          <w:lang w:eastAsia="zh-CN"/>
        </w:rPr>
        <w:t>F</w:t>
      </w:r>
      <w:r>
        <w:rPr>
          <w:rFonts w:eastAsiaTheme="minorEastAsia"/>
          <w:lang w:eastAsia="zh-CN"/>
        </w:rPr>
        <w:t>or the channel bandwidth, d</w:t>
      </w:r>
      <w:r w:rsidR="00CC243E">
        <w:rPr>
          <w:rFonts w:eastAsiaTheme="minorEastAsia"/>
          <w:lang w:eastAsia="zh-CN"/>
        </w:rPr>
        <w:t xml:space="preserve">uring the last RAN4 meeting, the channel bandwidth for intra-band non-contiguous CA has been agreed. For the intra-band contiguous CA PC2, there is no official agreement. From our understanding, currently the channel bandwidth for PC3 intra-band contiguous CA </w:t>
      </w:r>
      <w:r w:rsidR="00CC243E">
        <w:rPr>
          <w:rFonts w:eastAsiaTheme="minorEastAsia" w:hint="eastAsia"/>
          <w:lang w:eastAsia="zh-CN"/>
        </w:rPr>
        <w:t>c</w:t>
      </w:r>
      <w:r w:rsidR="00CC243E">
        <w:rPr>
          <w:rFonts w:eastAsiaTheme="minorEastAsia"/>
          <w:lang w:eastAsia="zh-CN"/>
        </w:rPr>
        <w:t xml:space="preserve">an be reused for PC2. </w:t>
      </w:r>
    </w:p>
    <w:p w:rsidR="000F5EAD" w:rsidRPr="000F5EAD" w:rsidRDefault="000F5EAD" w:rsidP="00945B21">
      <w:pPr>
        <w:rPr>
          <w:rFonts w:eastAsiaTheme="minorEastAsia"/>
          <w:b/>
          <w:lang w:eastAsia="zh-CN"/>
        </w:rPr>
      </w:pPr>
      <w:r w:rsidRPr="000F5EAD">
        <w:rPr>
          <w:rFonts w:eastAsiaTheme="minorEastAsia" w:hint="eastAsia"/>
          <w:b/>
          <w:lang w:eastAsia="zh-CN"/>
        </w:rPr>
        <w:t>P</w:t>
      </w:r>
      <w:r w:rsidRPr="000F5EAD">
        <w:rPr>
          <w:rFonts w:eastAsiaTheme="minorEastAsia"/>
          <w:b/>
          <w:lang w:eastAsia="zh-CN"/>
        </w:rPr>
        <w:t>roposal 2: For PC2 intra-band contiguous CA, reuse the same channel bandwidth of PC3 intra-band contiguous CA.</w:t>
      </w:r>
    </w:p>
    <w:p w:rsidR="000F5EAD" w:rsidRDefault="005E24CC" w:rsidP="00945B21">
      <w:pPr>
        <w:rPr>
          <w:rFonts w:eastAsiaTheme="minorEastAsia"/>
          <w:lang w:eastAsia="zh-CN"/>
        </w:rPr>
      </w:pPr>
      <w:r>
        <w:rPr>
          <w:rFonts w:eastAsiaTheme="minorEastAsia" w:hint="eastAsia"/>
          <w:lang w:eastAsia="zh-CN"/>
        </w:rPr>
        <w:t>F</w:t>
      </w:r>
      <w:r>
        <w:rPr>
          <w:rFonts w:eastAsiaTheme="minorEastAsia"/>
          <w:lang w:eastAsia="zh-CN"/>
        </w:rPr>
        <w:t>or channel arrangement, currently the requirement in subclause 5.4A has not differentiate contiguous and non-contiguous CA. In such case, similar approach can apply to sidelink CA and no update for sidelink CA subclause is needed.</w:t>
      </w:r>
    </w:p>
    <w:p w:rsidR="005E24CC" w:rsidRPr="005201CA" w:rsidRDefault="005E24CC" w:rsidP="00945B21">
      <w:pPr>
        <w:rPr>
          <w:rFonts w:eastAsiaTheme="minorEastAsia"/>
          <w:b/>
          <w:lang w:eastAsia="zh-CN"/>
        </w:rPr>
      </w:pPr>
      <w:r w:rsidRPr="005E24CC">
        <w:rPr>
          <w:rFonts w:eastAsiaTheme="minorEastAsia" w:hint="eastAsia"/>
          <w:b/>
          <w:lang w:eastAsia="zh-CN"/>
        </w:rPr>
        <w:t>P</w:t>
      </w:r>
      <w:r w:rsidRPr="005E24CC">
        <w:rPr>
          <w:rFonts w:eastAsiaTheme="minorEastAsia"/>
          <w:b/>
          <w:lang w:eastAsia="zh-CN"/>
        </w:rPr>
        <w:t>roposal 3: No update for sidelink CA subclause is needed for intra-band non-contiguous CA.</w:t>
      </w:r>
    </w:p>
    <w:p w:rsidR="003A046D" w:rsidRDefault="00986414">
      <w:pPr>
        <w:pStyle w:val="1"/>
        <w:ind w:left="0" w:firstLine="0"/>
      </w:pPr>
      <w:r>
        <w:t>3</w:t>
      </w:r>
      <w:r>
        <w:tab/>
        <w:t>Conclusions</w:t>
      </w:r>
    </w:p>
    <w:p w:rsidR="00015CCC" w:rsidRDefault="00015CCC" w:rsidP="007B6A1F">
      <w:pPr>
        <w:rPr>
          <w:rFonts w:eastAsiaTheme="minorEastAsia"/>
          <w:lang w:eastAsia="zh-CN"/>
        </w:rPr>
      </w:pPr>
      <w:r w:rsidRPr="00015CCC">
        <w:rPr>
          <w:rFonts w:eastAsiaTheme="minorEastAsia" w:hint="eastAsia"/>
          <w:lang w:eastAsia="zh-CN"/>
        </w:rPr>
        <w:t>I</w:t>
      </w:r>
      <w:r w:rsidRPr="00015CCC">
        <w:rPr>
          <w:rFonts w:eastAsiaTheme="minorEastAsia"/>
          <w:lang w:eastAsia="zh-CN"/>
        </w:rPr>
        <w:t xml:space="preserve">n </w:t>
      </w:r>
      <w:r>
        <w:rPr>
          <w:rFonts w:eastAsiaTheme="minorEastAsia"/>
          <w:lang w:eastAsia="zh-CN"/>
        </w:rPr>
        <w:t>this contribution, we give further analysis on the intra-band</w:t>
      </w:r>
      <w:r w:rsidR="00CB2875">
        <w:rPr>
          <w:rFonts w:eastAsiaTheme="minorEastAsia"/>
          <w:lang w:eastAsia="zh-CN"/>
        </w:rPr>
        <w:t xml:space="preserve"> non-contiguous</w:t>
      </w:r>
      <w:r>
        <w:rPr>
          <w:rFonts w:eastAsiaTheme="minorEastAsia"/>
          <w:lang w:eastAsia="zh-CN"/>
        </w:rPr>
        <w:t xml:space="preserve"> sidelink CA </w:t>
      </w:r>
      <w:r w:rsidR="00CB2875">
        <w:rPr>
          <w:rFonts w:eastAsiaTheme="minorEastAsia"/>
          <w:lang w:eastAsia="zh-CN"/>
        </w:rPr>
        <w:t>R</w:t>
      </w:r>
      <w:r>
        <w:rPr>
          <w:rFonts w:eastAsiaTheme="minorEastAsia"/>
          <w:lang w:eastAsia="zh-CN"/>
        </w:rPr>
        <w:t>X requirements. The observations and proposals are as below.</w:t>
      </w:r>
    </w:p>
    <w:p w:rsidR="005201CA" w:rsidRDefault="005201CA" w:rsidP="005201CA">
      <w:pPr>
        <w:rPr>
          <w:rFonts w:eastAsiaTheme="minorEastAsia"/>
          <w:b/>
          <w:lang w:eastAsia="zh-CN"/>
        </w:rPr>
      </w:pPr>
      <w:r w:rsidRPr="00613655">
        <w:rPr>
          <w:rFonts w:eastAsiaTheme="minorEastAsia" w:hint="eastAsia"/>
          <w:b/>
          <w:lang w:eastAsia="zh-CN"/>
        </w:rPr>
        <w:t>P</w:t>
      </w:r>
      <w:r w:rsidRPr="00613655">
        <w:rPr>
          <w:rFonts w:eastAsiaTheme="minorEastAsia"/>
          <w:b/>
          <w:lang w:eastAsia="zh-CN"/>
        </w:rPr>
        <w:t xml:space="preserve">roposal 1: To capture the intra-band contiguous and non-contiguous SL CA </w:t>
      </w:r>
      <w:r w:rsidRPr="00613655">
        <w:rPr>
          <w:rFonts w:eastAsiaTheme="minorEastAsia" w:hint="eastAsia"/>
          <w:b/>
          <w:lang w:eastAsia="zh-CN"/>
        </w:rPr>
        <w:t>bands</w:t>
      </w:r>
      <w:r w:rsidRPr="00613655">
        <w:rPr>
          <w:rFonts w:eastAsiaTheme="minorEastAsia"/>
          <w:b/>
          <w:lang w:eastAsia="zh-CN"/>
        </w:rPr>
        <w:t xml:space="preserve"> under the same sub-clause.</w:t>
      </w:r>
    </w:p>
    <w:p w:rsidR="005201CA" w:rsidRPr="000F5EAD" w:rsidRDefault="005201CA" w:rsidP="005201CA">
      <w:pPr>
        <w:rPr>
          <w:rFonts w:eastAsiaTheme="minorEastAsia"/>
          <w:b/>
          <w:lang w:eastAsia="zh-CN"/>
        </w:rPr>
      </w:pPr>
      <w:r w:rsidRPr="000F5EAD">
        <w:rPr>
          <w:rFonts w:eastAsiaTheme="minorEastAsia" w:hint="eastAsia"/>
          <w:b/>
          <w:lang w:eastAsia="zh-CN"/>
        </w:rPr>
        <w:t>P</w:t>
      </w:r>
      <w:r w:rsidRPr="000F5EAD">
        <w:rPr>
          <w:rFonts w:eastAsiaTheme="minorEastAsia"/>
          <w:b/>
          <w:lang w:eastAsia="zh-CN"/>
        </w:rPr>
        <w:t>roposal 2: For PC2 intra-band contiguous CA, reuse the same channel bandwidth of PC3 intra-band contiguous CA.</w:t>
      </w:r>
    </w:p>
    <w:p w:rsidR="005201CA" w:rsidRPr="005201CA" w:rsidRDefault="005201CA" w:rsidP="005201CA">
      <w:pPr>
        <w:rPr>
          <w:rFonts w:eastAsiaTheme="minorEastAsia"/>
          <w:b/>
          <w:lang w:eastAsia="zh-CN"/>
        </w:rPr>
      </w:pPr>
      <w:r w:rsidRPr="005E24CC">
        <w:rPr>
          <w:rFonts w:eastAsiaTheme="minorEastAsia" w:hint="eastAsia"/>
          <w:b/>
          <w:lang w:eastAsia="zh-CN"/>
        </w:rPr>
        <w:t>P</w:t>
      </w:r>
      <w:r w:rsidRPr="005E24CC">
        <w:rPr>
          <w:rFonts w:eastAsiaTheme="minorEastAsia"/>
          <w:b/>
          <w:lang w:eastAsia="zh-CN"/>
        </w:rPr>
        <w:t>roposal 3: No update for sidelink CA subclause is needed for intra-band non-contiguous CA.</w:t>
      </w:r>
    </w:p>
    <w:p w:rsidR="003A046D" w:rsidRDefault="00986414">
      <w:pPr>
        <w:pStyle w:val="1"/>
      </w:pPr>
      <w:r>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B636EC" w:rsidRPr="00A46319">
        <w:t>R4-2406611</w:t>
      </w:r>
      <w:r w:rsidR="00265891">
        <w:rPr>
          <w:rFonts w:eastAsia="华文楷体"/>
          <w:szCs w:val="28"/>
        </w:rPr>
        <w:t xml:space="preserve"> </w:t>
      </w:r>
      <w:r w:rsidR="00265891">
        <w:rPr>
          <w:rFonts w:eastAsia="华文楷体"/>
          <w:szCs w:val="28"/>
        </w:rPr>
        <w:tab/>
      </w:r>
      <w:r w:rsidR="00B636EC" w:rsidRPr="00A46319">
        <w:rPr>
          <w:rFonts w:eastAsia="华文楷体"/>
          <w:szCs w:val="28"/>
        </w:rPr>
        <w:t xml:space="preserve">WF on NR_SL_ </w:t>
      </w:r>
      <w:proofErr w:type="spellStart"/>
      <w:r w:rsidR="00B636EC" w:rsidRPr="00A46319">
        <w:rPr>
          <w:rFonts w:eastAsia="华文楷体"/>
          <w:szCs w:val="28"/>
        </w:rPr>
        <w:t>intraB_CA_ITS</w:t>
      </w:r>
      <w:proofErr w:type="spellEnd"/>
      <w:r w:rsidR="00AE444E">
        <w:rPr>
          <w:rFonts w:eastAsia="华文楷体"/>
          <w:szCs w:val="28"/>
        </w:rPr>
        <w:t xml:space="preserve">, </w:t>
      </w:r>
      <w:r w:rsidR="00AE444E" w:rsidRPr="00A46319">
        <w:rPr>
          <w:rFonts w:eastAsia="华文楷体"/>
          <w:szCs w:val="28"/>
        </w:rPr>
        <w:t>OPPO, Meta</w:t>
      </w:r>
    </w:p>
    <w:p w:rsidR="00403925" w:rsidRPr="00403925" w:rsidRDefault="00403925" w:rsidP="00403925">
      <w:pPr>
        <w:spacing w:line="360" w:lineRule="auto"/>
        <w:rPr>
          <w:rFonts w:eastAsiaTheme="minorEastAsia"/>
          <w:lang w:eastAsia="zh-CN"/>
        </w:rPr>
      </w:pP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57C" w:rsidRDefault="0051257C" w:rsidP="006426F4">
      <w:pPr>
        <w:spacing w:after="0"/>
      </w:pPr>
      <w:r>
        <w:separator/>
      </w:r>
    </w:p>
  </w:endnote>
  <w:endnote w:type="continuationSeparator" w:id="0">
    <w:p w:rsidR="0051257C" w:rsidRDefault="0051257C"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57C" w:rsidRDefault="0051257C" w:rsidP="006426F4">
      <w:pPr>
        <w:spacing w:after="0"/>
      </w:pPr>
      <w:r>
        <w:separator/>
      </w:r>
    </w:p>
  </w:footnote>
  <w:footnote w:type="continuationSeparator" w:id="0">
    <w:p w:rsidR="0051257C" w:rsidRDefault="0051257C"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6"/>
  </w:num>
  <w:num w:numId="2">
    <w:abstractNumId w:val="0"/>
  </w:num>
  <w:num w:numId="3">
    <w:abstractNumId w:val="12"/>
  </w:num>
  <w:num w:numId="4">
    <w:abstractNumId w:val="9"/>
  </w:num>
  <w:num w:numId="5">
    <w:abstractNumId w:val="14"/>
  </w:num>
  <w:num w:numId="6">
    <w:abstractNumId w:val="11"/>
  </w:num>
  <w:num w:numId="7">
    <w:abstractNumId w:val="4"/>
  </w:num>
  <w:num w:numId="8">
    <w:abstractNumId w:val="7"/>
  </w:num>
  <w:num w:numId="9">
    <w:abstractNumId w:val="1"/>
  </w:num>
  <w:num w:numId="10">
    <w:abstractNumId w:val="15"/>
  </w:num>
  <w:num w:numId="11">
    <w:abstractNumId w:val="6"/>
  </w:num>
  <w:num w:numId="12">
    <w:abstractNumId w:val="3"/>
  </w:num>
  <w:num w:numId="13">
    <w:abstractNumId w:val="13"/>
  </w:num>
  <w:num w:numId="14">
    <w:abstractNumId w:val="8"/>
  </w:num>
  <w:num w:numId="15">
    <w:abstractNumId w:val="10"/>
  </w:num>
  <w:num w:numId="16">
    <w:abstractNumId w:val="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6DF"/>
    <w:rsid w:val="00015A87"/>
    <w:rsid w:val="00015CCC"/>
    <w:rsid w:val="000160B9"/>
    <w:rsid w:val="0001681A"/>
    <w:rsid w:val="0001702D"/>
    <w:rsid w:val="00020784"/>
    <w:rsid w:val="000212E2"/>
    <w:rsid w:val="00022105"/>
    <w:rsid w:val="0002283D"/>
    <w:rsid w:val="00022E5A"/>
    <w:rsid w:val="00023ED8"/>
    <w:rsid w:val="0002431F"/>
    <w:rsid w:val="000253FF"/>
    <w:rsid w:val="00025DD6"/>
    <w:rsid w:val="00025E1A"/>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028"/>
    <w:rsid w:val="00082165"/>
    <w:rsid w:val="000821CD"/>
    <w:rsid w:val="00082828"/>
    <w:rsid w:val="0008354F"/>
    <w:rsid w:val="00083AEB"/>
    <w:rsid w:val="000845E9"/>
    <w:rsid w:val="00084704"/>
    <w:rsid w:val="00085F34"/>
    <w:rsid w:val="0009052C"/>
    <w:rsid w:val="0009108B"/>
    <w:rsid w:val="00091243"/>
    <w:rsid w:val="00091630"/>
    <w:rsid w:val="0009183E"/>
    <w:rsid w:val="00092192"/>
    <w:rsid w:val="00092D6D"/>
    <w:rsid w:val="00092FA2"/>
    <w:rsid w:val="00093E80"/>
    <w:rsid w:val="000946A3"/>
    <w:rsid w:val="0009496C"/>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4920"/>
    <w:rsid w:val="000D5016"/>
    <w:rsid w:val="000D51B6"/>
    <w:rsid w:val="000D5DB8"/>
    <w:rsid w:val="000D7865"/>
    <w:rsid w:val="000D7D01"/>
    <w:rsid w:val="000E130E"/>
    <w:rsid w:val="000E2541"/>
    <w:rsid w:val="000E2918"/>
    <w:rsid w:val="000E2B12"/>
    <w:rsid w:val="000E3606"/>
    <w:rsid w:val="000E49A4"/>
    <w:rsid w:val="000E5F87"/>
    <w:rsid w:val="000E627E"/>
    <w:rsid w:val="000E68D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5EAD"/>
    <w:rsid w:val="000F6B73"/>
    <w:rsid w:val="001015CB"/>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44F8"/>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AB8"/>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5F7"/>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869"/>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267B"/>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0B3"/>
    <w:rsid w:val="002D3984"/>
    <w:rsid w:val="002D49F8"/>
    <w:rsid w:val="002D5932"/>
    <w:rsid w:val="002D6221"/>
    <w:rsid w:val="002D7437"/>
    <w:rsid w:val="002E05CC"/>
    <w:rsid w:val="002E1411"/>
    <w:rsid w:val="002E1B85"/>
    <w:rsid w:val="002E32BF"/>
    <w:rsid w:val="002E3D84"/>
    <w:rsid w:val="002E3E3D"/>
    <w:rsid w:val="002E56C7"/>
    <w:rsid w:val="002E58E9"/>
    <w:rsid w:val="002E6078"/>
    <w:rsid w:val="002E77C7"/>
    <w:rsid w:val="002F0CE4"/>
    <w:rsid w:val="002F1392"/>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35"/>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6C2A"/>
    <w:rsid w:val="00367110"/>
    <w:rsid w:val="00367147"/>
    <w:rsid w:val="00367288"/>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22A"/>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688"/>
    <w:rsid w:val="003F7BA2"/>
    <w:rsid w:val="00400118"/>
    <w:rsid w:val="00400556"/>
    <w:rsid w:val="00400942"/>
    <w:rsid w:val="004009B3"/>
    <w:rsid w:val="0040349A"/>
    <w:rsid w:val="00403925"/>
    <w:rsid w:val="00403F72"/>
    <w:rsid w:val="0040426C"/>
    <w:rsid w:val="004045AB"/>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2ABD"/>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7ED"/>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57C"/>
    <w:rsid w:val="00512A75"/>
    <w:rsid w:val="00512FCB"/>
    <w:rsid w:val="005137E9"/>
    <w:rsid w:val="00514EA2"/>
    <w:rsid w:val="005154BA"/>
    <w:rsid w:val="00515E0E"/>
    <w:rsid w:val="00517267"/>
    <w:rsid w:val="00517EA0"/>
    <w:rsid w:val="005201CA"/>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A43"/>
    <w:rsid w:val="00533C3D"/>
    <w:rsid w:val="005345F2"/>
    <w:rsid w:val="00534A38"/>
    <w:rsid w:val="00535A2E"/>
    <w:rsid w:val="00535CC4"/>
    <w:rsid w:val="00535F75"/>
    <w:rsid w:val="0053616A"/>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A2C"/>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204"/>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24CC"/>
    <w:rsid w:val="005E30B5"/>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655"/>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47E99"/>
    <w:rsid w:val="0065051F"/>
    <w:rsid w:val="006514A0"/>
    <w:rsid w:val="006533CA"/>
    <w:rsid w:val="00654318"/>
    <w:rsid w:val="0065599D"/>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6111"/>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6B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C60"/>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1297"/>
    <w:rsid w:val="0076248E"/>
    <w:rsid w:val="00763AA1"/>
    <w:rsid w:val="00764B3B"/>
    <w:rsid w:val="0076566B"/>
    <w:rsid w:val="0076609D"/>
    <w:rsid w:val="00766138"/>
    <w:rsid w:val="00766A1B"/>
    <w:rsid w:val="00766F6F"/>
    <w:rsid w:val="0076779D"/>
    <w:rsid w:val="0077063D"/>
    <w:rsid w:val="0077210B"/>
    <w:rsid w:val="007731EF"/>
    <w:rsid w:val="0077387F"/>
    <w:rsid w:val="00773FBE"/>
    <w:rsid w:val="0077489E"/>
    <w:rsid w:val="00774FC0"/>
    <w:rsid w:val="00776B4E"/>
    <w:rsid w:val="0077700C"/>
    <w:rsid w:val="0077716C"/>
    <w:rsid w:val="00777F86"/>
    <w:rsid w:val="00781A70"/>
    <w:rsid w:val="00781F06"/>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6FF"/>
    <w:rsid w:val="007A7C1F"/>
    <w:rsid w:val="007B10E7"/>
    <w:rsid w:val="007B173D"/>
    <w:rsid w:val="007B181B"/>
    <w:rsid w:val="007B3881"/>
    <w:rsid w:val="007B4B35"/>
    <w:rsid w:val="007B51B9"/>
    <w:rsid w:val="007B6519"/>
    <w:rsid w:val="007B6A1F"/>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4E9C"/>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642"/>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0DF"/>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7F1"/>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A81"/>
    <w:rsid w:val="00944E3B"/>
    <w:rsid w:val="00945061"/>
    <w:rsid w:val="00945142"/>
    <w:rsid w:val="009452B4"/>
    <w:rsid w:val="00945883"/>
    <w:rsid w:val="00945B21"/>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1901"/>
    <w:rsid w:val="009E368B"/>
    <w:rsid w:val="009E3C82"/>
    <w:rsid w:val="009E3DB1"/>
    <w:rsid w:val="009E48B3"/>
    <w:rsid w:val="009E49ED"/>
    <w:rsid w:val="009E5B3C"/>
    <w:rsid w:val="009E5C63"/>
    <w:rsid w:val="009E63EA"/>
    <w:rsid w:val="009F00BA"/>
    <w:rsid w:val="009F0102"/>
    <w:rsid w:val="009F125A"/>
    <w:rsid w:val="009F31C0"/>
    <w:rsid w:val="009F476C"/>
    <w:rsid w:val="009F5431"/>
    <w:rsid w:val="009F5FBF"/>
    <w:rsid w:val="009F65FB"/>
    <w:rsid w:val="009F6703"/>
    <w:rsid w:val="009F671B"/>
    <w:rsid w:val="009F6B67"/>
    <w:rsid w:val="009F731A"/>
    <w:rsid w:val="009F78DB"/>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47A"/>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37C1B"/>
    <w:rsid w:val="00A4062C"/>
    <w:rsid w:val="00A4169A"/>
    <w:rsid w:val="00A419C3"/>
    <w:rsid w:val="00A41F59"/>
    <w:rsid w:val="00A4545A"/>
    <w:rsid w:val="00A47A04"/>
    <w:rsid w:val="00A500AC"/>
    <w:rsid w:val="00A52B3D"/>
    <w:rsid w:val="00A53E3F"/>
    <w:rsid w:val="00A54FCA"/>
    <w:rsid w:val="00A553AB"/>
    <w:rsid w:val="00A5649E"/>
    <w:rsid w:val="00A566AF"/>
    <w:rsid w:val="00A57FE1"/>
    <w:rsid w:val="00A604D1"/>
    <w:rsid w:val="00A60722"/>
    <w:rsid w:val="00A62576"/>
    <w:rsid w:val="00A62918"/>
    <w:rsid w:val="00A63FD0"/>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4956"/>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44E"/>
    <w:rsid w:val="00AE4577"/>
    <w:rsid w:val="00AE5041"/>
    <w:rsid w:val="00AE507B"/>
    <w:rsid w:val="00AE54B9"/>
    <w:rsid w:val="00AE6E02"/>
    <w:rsid w:val="00AE6F5B"/>
    <w:rsid w:val="00AE77FA"/>
    <w:rsid w:val="00AF0083"/>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066C"/>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6EC"/>
    <w:rsid w:val="00B63822"/>
    <w:rsid w:val="00B6387D"/>
    <w:rsid w:val="00B63D92"/>
    <w:rsid w:val="00B66211"/>
    <w:rsid w:val="00B66E3C"/>
    <w:rsid w:val="00B66F1C"/>
    <w:rsid w:val="00B6741A"/>
    <w:rsid w:val="00B674B3"/>
    <w:rsid w:val="00B70937"/>
    <w:rsid w:val="00B709A8"/>
    <w:rsid w:val="00B711D1"/>
    <w:rsid w:val="00B71244"/>
    <w:rsid w:val="00B71A87"/>
    <w:rsid w:val="00B71D01"/>
    <w:rsid w:val="00B71DA4"/>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2E4B"/>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85F"/>
    <w:rsid w:val="00BD0D8A"/>
    <w:rsid w:val="00BD0EA5"/>
    <w:rsid w:val="00BD18B5"/>
    <w:rsid w:val="00BD408A"/>
    <w:rsid w:val="00BD530A"/>
    <w:rsid w:val="00BD55D4"/>
    <w:rsid w:val="00BD58B2"/>
    <w:rsid w:val="00BE0B71"/>
    <w:rsid w:val="00BE0CEB"/>
    <w:rsid w:val="00BE22AC"/>
    <w:rsid w:val="00BE2C0F"/>
    <w:rsid w:val="00BE44C7"/>
    <w:rsid w:val="00BE46B4"/>
    <w:rsid w:val="00BE4F4C"/>
    <w:rsid w:val="00BF008E"/>
    <w:rsid w:val="00BF02FF"/>
    <w:rsid w:val="00BF31B1"/>
    <w:rsid w:val="00BF47BF"/>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5E3E"/>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2E80"/>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284E"/>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1DC4"/>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2875"/>
    <w:rsid w:val="00CB43FA"/>
    <w:rsid w:val="00CB4842"/>
    <w:rsid w:val="00CB4BDE"/>
    <w:rsid w:val="00CB5B68"/>
    <w:rsid w:val="00CB62D7"/>
    <w:rsid w:val="00CB65D3"/>
    <w:rsid w:val="00CB66D6"/>
    <w:rsid w:val="00CB6F2F"/>
    <w:rsid w:val="00CB7E83"/>
    <w:rsid w:val="00CC0EDD"/>
    <w:rsid w:val="00CC1E7B"/>
    <w:rsid w:val="00CC2040"/>
    <w:rsid w:val="00CC243E"/>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DCC"/>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09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0A83"/>
    <w:rsid w:val="00DE18AF"/>
    <w:rsid w:val="00DE1E34"/>
    <w:rsid w:val="00DE273B"/>
    <w:rsid w:val="00DE43A5"/>
    <w:rsid w:val="00DE5AC2"/>
    <w:rsid w:val="00DE5BE7"/>
    <w:rsid w:val="00DE673B"/>
    <w:rsid w:val="00DE7AD9"/>
    <w:rsid w:val="00DF01B1"/>
    <w:rsid w:val="00DF0266"/>
    <w:rsid w:val="00DF1565"/>
    <w:rsid w:val="00DF1EC8"/>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6CB"/>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227"/>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56A"/>
    <w:rsid w:val="00F12E0D"/>
    <w:rsid w:val="00F147D2"/>
    <w:rsid w:val="00F15604"/>
    <w:rsid w:val="00F15E0F"/>
    <w:rsid w:val="00F175E3"/>
    <w:rsid w:val="00F205B5"/>
    <w:rsid w:val="00F2103C"/>
    <w:rsid w:val="00F21383"/>
    <w:rsid w:val="00F21407"/>
    <w:rsid w:val="00F22503"/>
    <w:rsid w:val="00F2376B"/>
    <w:rsid w:val="00F245A9"/>
    <w:rsid w:val="00F24708"/>
    <w:rsid w:val="00F24E20"/>
    <w:rsid w:val="00F2519F"/>
    <w:rsid w:val="00F2596B"/>
    <w:rsid w:val="00F25C26"/>
    <w:rsid w:val="00F25CF4"/>
    <w:rsid w:val="00F25F63"/>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4EDC"/>
    <w:rsid w:val="00F650AE"/>
    <w:rsid w:val="00F660F7"/>
    <w:rsid w:val="00F671B6"/>
    <w:rsid w:val="00F675EB"/>
    <w:rsid w:val="00F70709"/>
    <w:rsid w:val="00F716DC"/>
    <w:rsid w:val="00F71DD7"/>
    <w:rsid w:val="00F73E4B"/>
    <w:rsid w:val="00F7430B"/>
    <w:rsid w:val="00F74633"/>
    <w:rsid w:val="00F74B5C"/>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810"/>
    <w:rsid w:val="00FB4E00"/>
    <w:rsid w:val="00FC03F8"/>
    <w:rsid w:val="00FC0F80"/>
    <w:rsid w:val="00FC1D8A"/>
    <w:rsid w:val="00FC262A"/>
    <w:rsid w:val="00FC2AAE"/>
    <w:rsid w:val="00FC3003"/>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BE3DB5"/>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D085F"/>
    <w:rPr>
      <w:rFonts w:ascii="Arial" w:eastAsia="Times New Roman" w:hAnsi="Arial"/>
      <w:sz w:val="22"/>
      <w:lang w:val="zh-CN" w:eastAsia="en-US"/>
    </w:rPr>
  </w:style>
  <w:style w:type="character" w:customStyle="1" w:styleId="EQChar">
    <w:name w:val="EQ Char"/>
    <w:link w:val="EQ"/>
    <w:qFormat/>
    <w:rsid w:val="00BD085F"/>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E5B3C"/>
    <w:rPr>
      <w:rFonts w:ascii="Arial" w:eastAsia="Times New Roman" w:hAnsi="Arial"/>
      <w:sz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01E5D1CD-8166-4D0B-94AA-F2DB5556C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7588</TotalTime>
  <Pages>1</Pages>
  <Words>301</Words>
  <Characters>1719</Characters>
  <Application>Microsoft Office Word</Application>
  <DocSecurity>0</DocSecurity>
  <Lines>14</Lines>
  <Paragraphs>4</Paragraphs>
  <ScaleCrop>false</ScaleCrop>
  <Company>Spirent Communications</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200</cp:revision>
  <cp:lastPrinted>2019-08-07T05:09:00Z</cp:lastPrinted>
  <dcterms:created xsi:type="dcterms:W3CDTF">2023-07-21T10:04:00Z</dcterms:created>
  <dcterms:modified xsi:type="dcterms:W3CDTF">2024-05-13T10:57:00Z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